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sz w:val="96"/>
          <w:szCs w:val="96"/>
        </w:rPr>
        <w:t xml:space="preserve">⚡💎</w:t>
      </w:r>
    </w:p>
    <w:p>
      <w:pPr>
        <w:spacing w:before="400"/>
      </w:pPr>
    </w:p>
    <w:p>
      <w:pPr>
        <w:jc w:val="center"/>
      </w:pPr>
      <w:r>
        <w:rPr>
          <w:rFonts w:ascii="Arial" w:cs="Arial" w:eastAsia="Arial" w:hAnsi="Arial"/>
          <w:b/>
          <w:bCs/>
          <w:color w:val="FF1493"/>
          <w:sz w:val="72"/>
          <w:szCs w:val="72"/>
        </w:rPr>
        <w:t xml:space="preserve">DAPPER FLEX</w:t>
      </w:r>
    </w:p>
    <w:p>
      <w:pPr>
        <w:jc w:val="center"/>
      </w:pPr>
      <w:r>
        <w:rPr>
          <w:rFonts w:ascii="Arial" w:cs="Arial" w:eastAsia="Arial" w:hAnsi="Arial"/>
          <w:color w:val="666666"/>
          <w:sz w:val="32"/>
          <w:szCs w:val="32"/>
        </w:rPr>
        <w:t xml:space="preserve">One-Click LP Zapping Protocol</w:t>
      </w:r>
    </w:p>
    <w:p>
      <w:pPr>
        <w:spacing w:before="800"/>
      </w:pPr>
    </w:p>
    <w:p>
      <w:pPr>
        <w:jc w:val="center"/>
      </w:pPr>
      <w:r>
        <w:rPr>
          <w:rFonts w:ascii="Arial" w:cs="Arial" w:eastAsia="Arial" w:hAnsi="Arial"/>
          <w:b/>
          <w:bCs/>
          <w:color w:val="C71585"/>
          <w:sz w:val="28"/>
          <w:szCs w:val="28"/>
        </w:rPr>
        <w:t xml:space="preserve">PINK PAPER</w:t>
      </w:r>
    </w:p>
    <w:p>
      <w:pPr>
        <w:jc w:val="center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Version 1.0 | January 2025</w:t>
      </w:r>
    </w:p>
    <w:p>
      <w:pPr>
        <w:spacing w:before="1600"/>
      </w:pPr>
    </w:p>
    <w:p>
      <w:pPr>
        <w:jc w:val="center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Built for the DTGC Community on PulseChain</w:t>
      </w:r>
    </w:p>
    <w:p>
      <w:r>
        <w:br w:type="page"/>
      </w:r>
    </w:p>
    <w:p>
      <w:pPr>
        <w:pStyle w:val="Heading1"/>
      </w:pPr>
      <w:r>
        <w:t xml:space="preserve">1. Executive Summary</w:t>
      </w:r>
    </w:p>
    <w:p>
      <w:pPr>
        <w:spacing w:after="200"/>
      </w:pPr>
      <w:r>
        <w:rPr>
          <w:sz w:val="24"/>
          <w:szCs w:val="24"/>
        </w:rPr>
        <w:t xml:space="preserve">Dapper is a revolutionary one-click LP zapping protocol built exclusively for Diamond and Diamond+ LP stakers on PulseChain. It transforms the traditionally complex 5-step process of creating and staking LP tokens into a single, seamless transaction.</w:t>
      </w:r>
    </w:p>
    <w:p>
      <w:pPr>
        <w:pStyle w:val="Heading2"/>
      </w:pPr>
      <w:r>
        <w:t xml:space="preserve">The Problem</w:t>
      </w:r>
    </w:p>
    <w:p>
      <w:pPr>
        <w:spacing w:after="200"/>
      </w:pPr>
      <w:r>
        <w:rPr>
          <w:sz w:val="24"/>
          <w:szCs w:val="24"/>
        </w:rPr>
        <w:t xml:space="preserve">Creating LP traditionally requires: swapping tokens, approving the router, adding liquidity, approving the staking contract, and finally staking. This friction-heavy experience deters many users from participating in liquidity provision.</w:t>
      </w:r>
    </w:p>
    <w:p>
      <w:pPr>
        <w:pStyle w:val="Heading2"/>
      </w:pPr>
      <w:r>
        <w:t xml:space="preserve">The Solution</w:t>
      </w:r>
    </w:p>
    <w:p>
      <w:pPr>
        <w:spacing w:after="200"/>
      </w:pPr>
      <w:r>
        <w:rPr>
          <w:sz w:val="24"/>
          <w:szCs w:val="24"/>
        </w:rPr>
        <w:t xml:space="preserve">Dapper accepts ANY PulseChain token and instantly converts it to staked DTGC/PLS LP, earning 10% APR with no lockup. One transaction. One click. Instant yield.</w:t>
      </w:r>
    </w:p>
    <w:p>
      <w:pPr>
        <w:spacing w:before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1493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10% APR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1493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1% Entry Fee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1493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1% Exit Fee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1493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$1,000 Gate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666666"/>
                <w:sz w:val="20"/>
                <w:szCs w:val="20"/>
              </w:rPr>
              <w:t xml:space="preserve">Flex Tier Yield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666666"/>
                <w:sz w:val="20"/>
                <w:szCs w:val="20"/>
              </w:rPr>
              <w:t xml:space="preserve">PLS to Engine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666666"/>
                <w:sz w:val="20"/>
                <w:szCs w:val="20"/>
              </w:rPr>
              <w:t xml:space="preserve">LP to Engine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666666"/>
                <w:sz w:val="20"/>
                <w:szCs w:val="20"/>
              </w:rPr>
              <w:t xml:space="preserve">Diamond Required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Access Gate: Diamond Exclusive</w:t>
      </w:r>
    </w:p>
    <w:p>
      <w:pPr>
        <w:spacing w:after="200"/>
      </w:pPr>
      <w:r>
        <w:rPr>
          <w:sz w:val="24"/>
          <w:szCs w:val="24"/>
        </w:rPr>
        <w:t xml:space="preserve">Dapper is exclusively available to users with $1,000 or more worth of LP tokens staked in the main LPStakingV4 contract. This includes both Diamond (DTGC/PLS) and Diamond+ (DTGC/URMOM) tiers.</w:t>
      </w:r>
    </w:p>
    <w:p>
      <w:pPr>
        <w:spacing w:after="200"/>
      </w:pPr>
      <w:r>
        <w:rPr>
          <w:sz w:val="24"/>
          <w:szCs w:val="24"/>
        </w:rPr>
        <w:t xml:space="preserve">This gate ensures that Dapper benefits are reserved for committed community members who have demonstrated long-term alignment with the DTGC ecosystem through their 90-day locked stakes.</w:t>
      </w:r>
    </w:p>
    <w:p>
      <w:pPr>
        <w:pStyle w:val="Heading2"/>
      </w:pPr>
      <w:r>
        <w:t xml:space="preserve">Staking Tier Comparison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7158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Tier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7158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LP Type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7158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Lock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7158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APR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7158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Dapper Access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💎 Diamond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DTGC/PLS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90 Days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1493"/>
                <w:sz w:val="22"/>
                <w:szCs w:val="22"/>
              </w:rPr>
              <w:t xml:space="preserve">42%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✅ If $1,000+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💎+ Diamond+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DTGC/URMOM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90 Days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1493"/>
                <w:sz w:val="22"/>
                <w:szCs w:val="22"/>
              </w:rPr>
              <w:t xml:space="preserve">70%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✅ If $1,000+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⚡ Flex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sz w:val="22"/>
                <w:szCs w:val="22"/>
              </w:rPr>
              <w:t xml:space="preserve">DTGC/PLS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None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1493"/>
                <w:sz w:val="22"/>
                <w:szCs w:val="22"/>
              </w:rPr>
              <w:t xml:space="preserve">10%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i/>
                <w:iCs/>
                <w:sz w:val="22"/>
                <w:szCs w:val="22"/>
              </w:rPr>
              <w:t xml:space="preserve">Output Only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How It Works</w:t>
      </w:r>
    </w:p>
    <w:p>
      <w:pPr>
        <w:spacing w:after="200"/>
      </w:pPr>
      <w:r>
        <w:rPr>
          <w:sz w:val="24"/>
          <w:szCs w:val="24"/>
        </w:rPr>
        <w:t xml:space="preserve">The Dapper protocol executes a sophisticated sequence of operations in a single atomic transaction: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sz w:val="24"/>
          <w:szCs w:val="24"/>
        </w:rPr>
        <w:t xml:space="preserve">User Sends Token </w:t>
      </w:r>
      <w:r>
        <w:rPr>
          <w:sz w:val="24"/>
          <w:szCs w:val="24"/>
        </w:rPr>
        <w:t xml:space="preserve">– PLS, PLSX, HEX, INC, or any supported token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sz w:val="24"/>
          <w:szCs w:val="24"/>
        </w:rPr>
        <w:t xml:space="preserve">Swap to PLS </w:t>
      </w:r>
      <w:r>
        <w:rPr>
          <w:sz w:val="24"/>
          <w:szCs w:val="24"/>
        </w:rPr>
        <w:t xml:space="preserve">– Best rate via PulseX V1 or V2 router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sz w:val="24"/>
          <w:szCs w:val="24"/>
        </w:rPr>
        <w:t xml:space="preserve">1% Fee Extracted </w:t>
      </w:r>
      <w:r>
        <w:rPr>
          <w:sz w:val="24"/>
          <w:szCs w:val="24"/>
        </w:rPr>
        <w:t xml:space="preserve">– Sent as PLS to Growth Engine wallet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sz w:val="24"/>
          <w:szCs w:val="24"/>
        </w:rPr>
        <w:t xml:space="preserve">Half Buys DTGC </w:t>
      </w:r>
      <w:r>
        <w:rPr>
          <w:sz w:val="24"/>
          <w:szCs w:val="24"/>
        </w:rPr>
        <w:t xml:space="preserve">– Creates immediate buy pressure on DTGC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sz w:val="24"/>
          <w:szCs w:val="24"/>
        </w:rPr>
        <w:t xml:space="preserve">Add Liquidity </w:t>
      </w:r>
      <w:r>
        <w:rPr>
          <w:sz w:val="24"/>
          <w:szCs w:val="24"/>
        </w:rPr>
        <w:t xml:space="preserve">– DTGC + PLS combined into LP tokens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sz w:val="24"/>
          <w:szCs w:val="24"/>
        </w:rPr>
        <w:t xml:space="preserve">Stake in Flex </w:t>
      </w:r>
      <w:r>
        <w:rPr>
          <w:sz w:val="24"/>
          <w:szCs w:val="24"/>
        </w:rPr>
        <w:t xml:space="preserve">– User immediately earns 10% APR, no lockup</w:t>
      </w:r>
    </w:p>
    <w:p>
      <w:r>
        <w:br w:type="page"/>
      </w:r>
    </w:p>
    <w:p>
      <w:pPr>
        <w:pStyle w:val="Heading1"/>
      </w:pPr>
      <w:r>
        <w:t xml:space="preserve">4. Fee Structure &amp; Tokenomics</w:t>
      </w:r>
    </w:p>
    <w:p>
      <w:pPr>
        <w:pStyle w:val="Heading2"/>
      </w:pPr>
      <w:r>
        <w:t xml:space="preserve">Entry Fee (1%)</w:t>
      </w:r>
    </w:p>
    <w:p>
      <w:pPr>
        <w:spacing w:after="200"/>
      </w:pPr>
      <w:r>
        <w:rPr>
          <w:sz w:val="24"/>
          <w:szCs w:val="24"/>
        </w:rPr>
        <w:t xml:space="preserve">When a user zaps any token, 1% of the PLS value is extracted and sent directly to the Growth Engine wallet. This PLS fuels the automated buy-back system, creating sustained buy pressure on DTGC and URMOM tokens.</w:t>
      </w:r>
    </w:p>
    <w:p>
      <w:pPr>
        <w:pStyle w:val="Heading2"/>
      </w:pPr>
      <w:r>
        <w:t xml:space="preserve">Exit Fee (1%)</w:t>
      </w:r>
    </w:p>
    <w:p>
      <w:pPr>
        <w:spacing w:after="200"/>
      </w:pPr>
      <w:r>
        <w:rPr>
          <w:sz w:val="24"/>
          <w:szCs w:val="24"/>
        </w:rPr>
        <w:t xml:space="preserve">When a user withdraws from Flex staking, 1% of their LP tokens are sent to the Growth Engine wallet. This LP can be held for deeper ecosystem liquidity or unwrapped and sold for additional buyback fuel.</w:t>
      </w:r>
    </w:p>
    <w:p>
      <w:pPr>
        <w:spacing w:before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FD700" w:sz="8"/>
              <w:left w:val="single" w:color="DDDDDD" w:sz="1"/>
              <w:bottom w:val="single" w:color="DDDDDD" w:sz="1"/>
              <w:right w:val="single" w:color="DDDDDD" w:sz="1"/>
            </w:tcBorders>
            <w:shd w:fill="FFFACD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b/>
                <w:bCs/>
                <w:color w:val="C71585"/>
                <w:sz w:val="26"/>
                <w:szCs w:val="26"/>
              </w:rPr>
              <w:t xml:space="preserve">Where Do Fees Go?</w:t>
            </w:r>
          </w:p>
          <w:p>
            <w:pPr>
              <w:spacing w:before="100"/>
            </w:pPr>
            <w:r>
              <w:rPr>
                <w:sz w:val="24"/>
                <w:szCs w:val="24"/>
              </w:rPr>
              <w:t xml:space="preserve">All fees flow to the Growth Engine wallet:</w:t>
            </w:r>
          </w:p>
          <w:p>
            <w:pPr>
              <w:spacing w:before="50"/>
            </w:pPr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0x7aab5ef45b71338cb6ea702f0641f99a2f7565a6</w:t>
            </w:r>
          </w:p>
          <w:p>
            <w:pPr>
              <w:spacing w:before="150"/>
            </w:pPr>
            <w:r>
              <w:rPr>
                <w:sz w:val="24"/>
                <w:szCs w:val="24"/>
              </w:rPr>
              <w:t xml:space="preserve">The Growth Engine Lambda automatically executes calculated DTGC and URMOM purchases over time, preventing price spikes and creating sustained buy pressure.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5. The Flywheel Effect</w:t>
      </w:r>
    </w:p>
    <w:p>
      <w:pPr>
        <w:spacing w:after="200"/>
      </w:pPr>
      <w:r>
        <w:rPr>
          <w:sz w:val="24"/>
          <w:szCs w:val="24"/>
        </w:rPr>
        <w:t xml:space="preserve">Dapper creates a self-reinforcing growth loop that continuously strengthens the DTGC ecosystem: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  <w:color w:val="FF1493"/>
          <w:sz w:val="24"/>
          <w:szCs w:val="24"/>
        </w:rPr>
        <w:t xml:space="preserve">Users Zap: </w:t>
      </w:r>
      <w:r>
        <w:rPr>
          <w:sz w:val="24"/>
          <w:szCs w:val="24"/>
        </w:rPr>
        <w:t xml:space="preserve">Any token converts to DTGC/PLS LP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  <w:color w:val="FF1493"/>
          <w:sz w:val="24"/>
          <w:szCs w:val="24"/>
        </w:rPr>
        <w:t xml:space="preserve">DTGC Bought: </w:t>
      </w:r>
      <w:r>
        <w:rPr>
          <w:sz w:val="24"/>
          <w:szCs w:val="24"/>
        </w:rPr>
        <w:t xml:space="preserve">Half of each zap purchases DTGC from the market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  <w:color w:val="FF1493"/>
          <w:sz w:val="24"/>
          <w:szCs w:val="24"/>
        </w:rPr>
        <w:t xml:space="preserve">Liquidity Deepens: </w:t>
      </w:r>
      <w:r>
        <w:rPr>
          <w:sz w:val="24"/>
          <w:szCs w:val="24"/>
        </w:rPr>
        <w:t xml:space="preserve">LP added to DTGC/PLS pool permanently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  <w:color w:val="FF1493"/>
          <w:sz w:val="24"/>
          <w:szCs w:val="24"/>
        </w:rPr>
        <w:t xml:space="preserve">Fees Flow: </w:t>
      </w:r>
      <w:r>
        <w:rPr>
          <w:sz w:val="24"/>
          <w:szCs w:val="24"/>
        </w:rPr>
        <w:t xml:space="preserve">1% entry + 1% exit sent to Growth Engine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  <w:color w:val="FF1493"/>
          <w:sz w:val="24"/>
          <w:szCs w:val="24"/>
        </w:rPr>
        <w:t xml:space="preserve">Auto Buybacks: </w:t>
      </w:r>
      <w:r>
        <w:rPr>
          <w:sz w:val="24"/>
          <w:szCs w:val="24"/>
        </w:rPr>
        <w:t xml:space="preserve">Growth Engine executes calculated DTGC/URMOM purchases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  <w:color w:val="FF1493"/>
          <w:sz w:val="24"/>
          <w:szCs w:val="24"/>
        </w:rPr>
        <w:t xml:space="preserve">Repeat: </w:t>
      </w:r>
      <w:r>
        <w:rPr>
          <w:sz w:val="24"/>
          <w:szCs w:val="24"/>
        </w:rPr>
        <w:t xml:space="preserve">The cycle continues with every zap and exit</w:t>
      </w:r>
    </w:p>
    <w:p>
      <w:pPr>
        <w:spacing w:before="300"/>
        <w:jc w:val="center"/>
      </w:pPr>
      <w:r>
        <w:rPr>
          <w:i/>
          <w:iCs/>
          <w:color w:val="C71585"/>
          <w:sz w:val="24"/>
          <w:szCs w:val="24"/>
        </w:rPr>
        <w:t xml:space="preserve">Every zap strengthens the ecosystem. Every exit fee adds fuel. The flywheel never stops.</w:t>
      </w:r>
    </w:p>
    <w:p>
      <w:r>
        <w:br w:type="page"/>
      </w:r>
    </w:p>
    <w:p>
      <w:pPr>
        <w:pStyle w:val="Heading1"/>
      </w:pPr>
      <w:r>
        <w:t xml:space="preserve">6. Accepted Tokens</w:t>
      </w:r>
    </w:p>
    <w:p>
      <w:pPr>
        <w:spacing w:after="200"/>
      </w:pPr>
      <w:r>
        <w:rPr>
          <w:sz w:val="24"/>
          <w:szCs w:val="24"/>
        </w:rPr>
        <w:t xml:space="preserve">By default, Dapper accepts any PulseChain token with liquidity on PulseX. The protocol automatically routes through V1 or V2 for the best rate.</w:t>
      </w:r>
    </w:p>
    <w:p>
      <w:pPr>
        <w:pStyle w:val="Heading2"/>
      </w:pPr>
      <w:r>
        <w:t xml:space="preserve">Recommended Tokens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  <w:sz w:val="24"/>
          <w:szCs w:val="24"/>
        </w:rPr>
        <w:t xml:space="preserve">PLS (native) </w:t>
      </w:r>
      <w:r>
        <w:rPr>
          <w:sz w:val="24"/>
          <w:szCs w:val="24"/>
        </w:rPr>
        <w:t xml:space="preserve">– Most efficient, no swap needed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  <w:sz w:val="24"/>
          <w:szCs w:val="24"/>
        </w:rPr>
        <w:t xml:space="preserve">PLSX </w:t>
      </w:r>
      <w:r>
        <w:rPr>
          <w:sz w:val="24"/>
          <w:szCs w:val="24"/>
        </w:rPr>
        <w:t xml:space="preserve">– High liquidity, minimal slippage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  <w:sz w:val="24"/>
          <w:szCs w:val="24"/>
        </w:rPr>
        <w:t xml:space="preserve">HEX </w:t>
      </w:r>
      <w:r>
        <w:rPr>
          <w:sz w:val="24"/>
          <w:szCs w:val="24"/>
        </w:rPr>
        <w:t xml:space="preserve">– Deep liquidity pools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  <w:sz w:val="24"/>
          <w:szCs w:val="24"/>
        </w:rPr>
        <w:t xml:space="preserve">INC </w:t>
      </w:r>
      <w:r>
        <w:rPr>
          <w:sz w:val="24"/>
          <w:szCs w:val="24"/>
        </w:rPr>
        <w:t xml:space="preserve">– Solid PulseX liquidity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  <w:sz w:val="24"/>
          <w:szCs w:val="24"/>
        </w:rPr>
        <w:t xml:space="preserve">DTGC </w:t>
      </w:r>
      <w:r>
        <w:rPr>
          <w:sz w:val="24"/>
          <w:szCs w:val="24"/>
        </w:rPr>
        <w:t xml:space="preserve">– Special handling (half sold, half used directly)</w:t>
      </w:r>
    </w:p>
    <w:p>
      <w:pPr>
        <w:pStyle w:val="Heading2"/>
      </w:pPr>
      <w:r>
        <w:t xml:space="preserve">Whitelist Mode (Optional)</w:t>
      </w:r>
    </w:p>
    <w:p>
      <w:pPr>
        <w:spacing w:after="200"/>
      </w:pPr>
      <w:r>
        <w:rPr>
          <w:sz w:val="24"/>
          <w:szCs w:val="24"/>
        </w:rPr>
        <w:t xml:space="preserve">The admin can enable whitelist mode to restrict zapping to only approved tokens. This prevents users from zapping low-liquidity tokens that may result in poor rates or failed transactions.</w:t>
      </w:r>
    </w:p>
    <w:p>
      <w:r>
        <w:br w:type="page"/>
      </w:r>
    </w:p>
    <w:p>
      <w:pPr>
        <w:pStyle w:val="Heading1"/>
      </w:pPr>
      <w:r>
        <w:t xml:space="preserve">7. Security Considerations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  <w:sz w:val="24"/>
          <w:szCs w:val="24"/>
        </w:rPr>
        <w:t xml:space="preserve">Slippage Protection: </w:t>
      </w:r>
      <w:r>
        <w:rPr>
          <w:sz w:val="24"/>
          <w:szCs w:val="24"/>
        </w:rPr>
        <w:t xml:space="preserve">2% max slippage on all swaps (configurable)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  <w:sz w:val="24"/>
          <w:szCs w:val="24"/>
        </w:rPr>
        <w:t xml:space="preserve">Reentrancy Guard: </w:t>
      </w:r>
      <w:r>
        <w:rPr>
          <w:sz w:val="24"/>
          <w:szCs w:val="24"/>
        </w:rPr>
        <w:t xml:space="preserve">All state changes before external calls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  <w:sz w:val="24"/>
          <w:szCs w:val="24"/>
        </w:rPr>
        <w:t xml:space="preserve">Access Control: </w:t>
      </w:r>
      <w:r>
        <w:rPr>
          <w:sz w:val="24"/>
          <w:szCs w:val="24"/>
        </w:rPr>
        <w:t xml:space="preserve">Only Diamond holders can use Dapper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  <w:sz w:val="24"/>
          <w:szCs w:val="24"/>
        </w:rPr>
        <w:t xml:space="preserve">Emergency Withdraw: </w:t>
      </w:r>
      <w:r>
        <w:rPr>
          <w:sz w:val="24"/>
          <w:szCs w:val="24"/>
        </w:rPr>
        <w:t xml:space="preserve">Users can always exit (with fee)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  <w:sz w:val="24"/>
          <w:szCs w:val="24"/>
        </w:rPr>
        <w:t xml:space="preserve">No Lockup: </w:t>
      </w:r>
      <w:r>
        <w:rPr>
          <w:sz w:val="24"/>
          <w:szCs w:val="24"/>
        </w:rPr>
        <w:t xml:space="preserve">Flex tier funds are never locked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b/>
          <w:bCs/>
          <w:sz w:val="24"/>
          <w:szCs w:val="24"/>
        </w:rPr>
        <w:t xml:space="preserve">Audited Libraries: </w:t>
      </w:r>
      <w:r>
        <w:rPr>
          <w:sz w:val="24"/>
          <w:szCs w:val="24"/>
        </w:rPr>
        <w:t xml:space="preserve">OpenZeppelin contracts v4.9.3</w:t>
      </w:r>
    </w:p>
    <w:p>
      <w:pPr>
        <w:pStyle w:val="Heading1"/>
      </w:pPr>
      <w:r>
        <w:t xml:space="preserve">8. Contract Addresses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7158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Contract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7158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Address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DTGC Token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0xd0676b28a457371d58d47e5247b439114e40eb0f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URMOM Token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0xe43b3cee3554e120213b8b69caf690b6c04a7ec0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Growth Engine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18"/>
                <w:szCs w:val="18"/>
              </w:rPr>
              <w:t xml:space="preserve">0x7aab5ef45b71338cb6ea702f0641f99a2f7565a6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Dapper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i/>
                <w:iCs/>
                <w:color w:val="888888"/>
                <w:sz w:val="18"/>
                <w:szCs w:val="18"/>
              </w:rPr>
              <w:t xml:space="preserve">Deploy pending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LPStakingFlexV4</w:t>
            </w:r>
          </w:p>
        </w:tc>
        <w:tc>
          <w:tcPr>
            <w:tcW w:type="dxa" w:w="6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i/>
                <w:iCs/>
                <w:color w:val="888888"/>
                <w:sz w:val="18"/>
                <w:szCs w:val="18"/>
              </w:rPr>
              <w:t xml:space="preserve">Deploy pending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9. Summary</w:t>
      </w:r>
    </w:p>
    <w:p>
      <w:pPr>
        <w:spacing w:after="300"/>
      </w:pPr>
      <w:r>
        <w:rPr>
          <w:sz w:val="24"/>
          <w:szCs w:val="24"/>
        </w:rPr>
        <w:t xml:space="preserve">Dapper Flex represents the next evolution of the DTGC ecosystem — transforming complex DeFi operations into one-click experiences while continuously fueling the Growth Engine flywheel.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F1493" w:sz="8"/>
              <w:left w:val="single" w:color="DDDDDD" w:sz="1"/>
              <w:bottom w:val="single" w:color="DDDDDD" w:sz="1"/>
              <w:right w:val="single" w:color="DDDDDD" w:sz="1"/>
            </w:tcBorders>
            <w:shd w:fill="FFF0F5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b/>
                <w:bCs/>
                <w:color w:val="C71585"/>
                <w:sz w:val="24"/>
                <w:szCs w:val="24"/>
              </w:rPr>
              <w:t xml:space="preserve">For Diamond Holders:</w:t>
            </w:r>
          </w:p>
          <w:p>
            <w:pPr>
              <w:spacing w:before="80"/>
            </w:pPr>
            <w:r>
              <w:rPr>
                <w:sz w:val="24"/>
                <w:szCs w:val="24"/>
              </w:rPr>
              <w:t xml:space="preserve">Exclusive access to one-click LP creation with 10% APR and full flexibility.</w:t>
            </w:r>
          </w:p>
          <w:p>
            <w:pPr>
              <w:spacing w:before="200"/>
            </w:pPr>
            <w:r>
              <w:rPr>
                <w:b/>
                <w:bCs/>
                <w:color w:val="C71585"/>
                <w:sz w:val="24"/>
                <w:szCs w:val="24"/>
              </w:rPr>
              <w:t xml:space="preserve">For the Ecosystem:</w:t>
            </w:r>
          </w:p>
          <w:p>
            <w:pPr>
              <w:spacing w:before="80"/>
            </w:pPr>
            <w:r>
              <w:rPr>
                <w:sz w:val="24"/>
                <w:szCs w:val="24"/>
              </w:rPr>
              <w:t xml:space="preserve">Every zap creates buy pressure, deepens liquidity, and feeds the Growth Engine's automated buyback system.</w:t>
            </w:r>
          </w:p>
        </w:tc>
      </w:tr>
    </w:tbl>
    <w:p>
      <w:pPr>
        <w:spacing w:before="600"/>
      </w:pPr>
    </w:p>
    <w:p>
      <w:pPr>
        <w:jc w:val="center"/>
      </w:pPr>
      <w:r>
        <w:rPr>
          <w:b/>
          <w:bCs/>
          <w:color w:val="FF1493"/>
          <w:sz w:val="32"/>
          <w:szCs w:val="32"/>
        </w:rPr>
        <w:t xml:space="preserve">⚡💎 DAPPER FLEX Protocol 💎⚡</w:t>
      </w:r>
    </w:p>
    <w:p>
      <w:pPr>
        <w:spacing w:before="100"/>
        <w:jc w:val="center"/>
      </w:pPr>
      <w:r>
        <w:rPr>
          <w:i/>
          <w:iCs/>
          <w:color w:val="666666"/>
          <w:sz w:val="24"/>
          <w:szCs w:val="24"/>
        </w:rPr>
        <w:t xml:space="preserve">One Click. Instant LP. Continuous Yield.</w:t>
      </w:r>
    </w:p>
    <w:p>
      <w:pPr>
        <w:spacing w:before="300"/>
        <w:jc w:val="center"/>
      </w:pPr>
      <w:r>
        <w:rPr>
          <w:b/>
          <w:bCs/>
          <w:color w:val="C71585"/>
          <w:sz w:val="28"/>
          <w:szCs w:val="28"/>
        </w:rPr>
        <w:t xml:space="preserve">dtgc.io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FF1493"/>
        <w:sz w:val="18"/>
        <w:szCs w:val="18"/>
      </w:rPr>
      <w:t xml:space="preserve">DTGC.io</w:t>
    </w:r>
    <w:r>
      <w:rPr>
        <w:rFonts w:ascii="Arial" w:cs="Arial" w:eastAsia="Arial" w:hAnsi="Arial"/>
        <w:color w:val="666666"/>
        <w:sz w:val="18"/>
        <w:szCs w:val="18"/>
      </w:rPr>
      <w:t xml:space="preserve"> | 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b/>
        <w:bCs/>
        <w:color w:val="FF1493"/>
        <w:sz w:val="20"/>
        <w:szCs w:val="20"/>
      </w:rPr>
      <w:t xml:space="preserve">DAPPER FLEX Protocol</w:t>
    </w:r>
    <w:r>
      <w:rPr>
        <w:rFonts w:ascii="Arial" w:cs="Arial" w:eastAsia="Arial" w:hAnsi="Arial"/>
        <w:color w:val="666666"/>
        <w:sz w:val="20"/>
        <w:szCs w:val="20"/>
      </w:rPr>
      <w:t xml:space="preserve"> | Pink Paper 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C71585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Arial" w:cs="Arial" w:eastAsia="Arial" w:hAnsi="Arial"/>
      <w:b/>
      <w:bCs/>
      <w:color w:val="FF1493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Arial" w:cs="Arial" w:eastAsia="Arial" w:hAnsi="Arial"/>
      <w:b/>
      <w:bCs/>
      <w:color w:val="FF69B4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2026-01-08T14:49:59.945Z</dcterms:created>
  <dcterms:modified xsi:type="dcterms:W3CDTF">2026-01-08T14:49:59.946Z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