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dt-gold-coin"/>
    <w:p>
      <w:pPr>
        <w:pStyle w:val="Heading1"/>
      </w:pPr>
      <w:r>
        <w:t xml:space="preserve">DT GOLD COIN</w:t>
      </w:r>
    </w:p>
    <w:bookmarkStart w:id="21" w:name="v4-white-paper"/>
    <w:p>
      <w:pPr>
        <w:pStyle w:val="Heading2"/>
      </w:pPr>
      <w:r>
        <w:t xml:space="preserve">V4 WHITE PAPER</w:t>
      </w:r>
    </w:p>
    <w:bookmarkStart w:id="20" w:name="X8edbd96ab9de9ab6818ea47df4906cec31271cb"/>
    <w:p>
      <w:pPr>
        <w:pStyle w:val="Heading3"/>
      </w:pPr>
      <w:r>
        <w:t xml:space="preserve">Unlimited Multi-Stake Protocol on PulseChain</w:t>
      </w:r>
    </w:p>
    <w:p>
      <w:pPr>
        <w:pStyle w:val="FirstParagraph"/>
      </w:pPr>
      <w:r>
        <w:rPr>
          <w:bCs/>
          <w:b/>
        </w:rPr>
        <w:t xml:space="preserve">Version 4.0 • January 2026</w:t>
      </w:r>
      <w:r>
        <w:br/>
      </w:r>
      <w:r>
        <w:rPr>
          <w:iCs/>
          <w:i/>
        </w:rPr>
        <w:t xml:space="preserve">First Unlimited Staking Protocol on PulseChain</w:t>
      </w:r>
    </w:p>
    <w:p>
      <w:r>
        <w:pict>
          <v:rect style="width:0;height:1.5pt" o:hralign="center" o:hrstd="t" o:hr="t"/>
        </w:pict>
      </w:r>
    </w:p>
    <w:bookmarkEnd w:id="20"/>
    <w:bookmarkEnd w:id="21"/>
    <w:bookmarkStart w:id="23" w:name="executive-summary"/>
    <w:p>
      <w:pPr>
        <w:pStyle w:val="Heading2"/>
      </w:pPr>
      <w:r>
        <w:t xml:space="preserve">1. Executive Summary</w:t>
      </w:r>
    </w:p>
    <w:p>
      <w:pPr>
        <w:pStyle w:val="FirstParagraph"/>
      </w:pPr>
      <w:r>
        <w:t xml:space="preserve">DT Gold Coin (DTGC) V4 represents a groundbreaking advancement in DeFi staking technology. As the</w:t>
      </w:r>
      <w:r>
        <w:t xml:space="preserve"> </w:t>
      </w:r>
      <w:r>
        <w:rPr>
          <w:bCs/>
          <w:b/>
        </w:rPr>
        <w:t xml:space="preserve">first unlimited multi-stake protocol on PulseChain</w:t>
      </w:r>
      <w:r>
        <w:t xml:space="preserve">, V4 enables users to stack multiple staking positions across all tiers simultaneously, maximizing earning potential while maintaining complete flexibility.</w:t>
      </w:r>
    </w:p>
    <w:p>
      <w:pPr>
        <w:pStyle w:val="BodyText"/>
      </w:pPr>
      <w:r>
        <w:t xml:space="preserve">The V4 contracts introduce revolutionary features including claim-without-unstaking, allowing users to harvest rewards while their principal continues earning. Combined with our proven tokenomics and sustainable APR model, DTGC V4 delivers institutional-grade staking for everyone.</w:t>
      </w:r>
    </w:p>
    <w:bookmarkStart w:id="22" w:name="key-features"/>
    <w:p>
      <w:pPr>
        <w:pStyle w:val="Heading3"/>
      </w:pPr>
      <w:r>
        <w:t xml:space="preserve">Key Features</w:t>
      </w:r>
    </w:p>
    <w:p>
      <w:pPr>
        <w:numPr>
          <w:ilvl w:val="0"/>
          <w:numId w:val="1001"/>
        </w:numPr>
        <w:pStyle w:val="Compact"/>
      </w:pPr>
      <w:r>
        <w:rPr>
          <w:bCs/>
          <w:b/>
        </w:rPr>
        <w:t xml:space="preserve">Unlimited Multi-Stake:</w:t>
      </w:r>
      <w:r>
        <w:t xml:space="preserve"> </w:t>
      </w:r>
      <w:r>
        <w:t xml:space="preserve">Stack positions across Silver, Gold, and Whale tiers</w:t>
      </w:r>
    </w:p>
    <w:p>
      <w:pPr>
        <w:numPr>
          <w:ilvl w:val="0"/>
          <w:numId w:val="1001"/>
        </w:numPr>
        <w:pStyle w:val="Compact"/>
      </w:pPr>
      <w:r>
        <w:rPr>
          <w:bCs/>
          <w:b/>
        </w:rPr>
        <w:t xml:space="preserve">Claim Without Unstaking:</w:t>
      </w:r>
      <w:r>
        <w:t xml:space="preserve"> </w:t>
      </w:r>
      <w:r>
        <w:t xml:space="preserve">Harvest rewards anytime without ending your stake</w:t>
      </w:r>
    </w:p>
    <w:p>
      <w:pPr>
        <w:numPr>
          <w:ilvl w:val="0"/>
          <w:numId w:val="1001"/>
        </w:numPr>
        <w:pStyle w:val="Compact"/>
      </w:pPr>
      <w:r>
        <w:rPr>
          <w:bCs/>
          <w:b/>
        </w:rPr>
        <w:t xml:space="preserve">Diamond+ LP Staking:</w:t>
      </w:r>
      <w:r>
        <w:t xml:space="preserve"> </w:t>
      </w:r>
      <w:r>
        <w:t xml:space="preserve">Up to 70% APR on DTGC/URMOM liquidity</w:t>
      </w:r>
    </w:p>
    <w:p>
      <w:pPr>
        <w:numPr>
          <w:ilvl w:val="0"/>
          <w:numId w:val="1001"/>
        </w:numPr>
        <w:pStyle w:val="Compact"/>
      </w:pPr>
      <w:r>
        <w:rPr>
          <w:bCs/>
          <w:b/>
        </w:rPr>
        <w:t xml:space="preserve">DAO Governance:</w:t>
      </w:r>
      <w:r>
        <w:t xml:space="preserve"> </w:t>
      </w:r>
      <w:r>
        <w:t xml:space="preserve">Community-driven protocol decisions</w:t>
      </w:r>
    </w:p>
    <w:p>
      <w:pPr>
        <w:numPr>
          <w:ilvl w:val="0"/>
          <w:numId w:val="1001"/>
        </w:numPr>
        <w:pStyle w:val="Compact"/>
      </w:pPr>
      <w:r>
        <w:rPr>
          <w:bCs/>
          <w:b/>
        </w:rPr>
        <w:t xml:space="preserve">Verified Contracts:</w:t>
      </w:r>
      <w:r>
        <w:t xml:space="preserve"> </w:t>
      </w:r>
      <w:r>
        <w:t xml:space="preserve">Fully verified on PulseScan</w:t>
      </w:r>
    </w:p>
    <w:p>
      <w:r>
        <w:pict>
          <v:rect style="width:0;height:1.5pt" o:hralign="center" o:hrstd="t" o:hr="t"/>
        </w:pict>
      </w:r>
    </w:p>
    <w:bookmarkEnd w:id="22"/>
    <w:bookmarkEnd w:id="23"/>
    <w:bookmarkStart w:id="24" w:name="v4-contract-addresses"/>
    <w:p>
      <w:pPr>
        <w:pStyle w:val="Heading2"/>
      </w:pPr>
      <w:r>
        <w:t xml:space="preserve">2. V4 Contract Addresses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Contract</w:t>
            </w:r>
          </w:p>
        </w:tc>
        <w:tc>
          <w:tcPr/>
          <w:p>
            <w:pPr>
              <w:pStyle w:val="Compact"/>
              <w:jc w:val="left"/>
            </w:pPr>
            <w:r>
              <w:t xml:space="preserve">Address</w:t>
            </w:r>
          </w:p>
        </w:tc>
      </w:tr>
      <w:tr>
        <w:tc>
          <w:tcPr/>
          <w:p>
            <w:pPr>
              <w:pStyle w:val="Compact"/>
              <w:jc w:val="left"/>
            </w:pPr>
            <w:r>
              <w:rPr>
                <w:bCs/>
                <w:b/>
              </w:rPr>
              <w:t xml:space="preserve">DTGCStakingV4</w:t>
            </w:r>
          </w:p>
        </w:tc>
        <w:tc>
          <w:tcPr/>
          <w:p>
            <w:pPr>
              <w:pStyle w:val="Compact"/>
              <w:jc w:val="left"/>
            </w:pPr>
            <w:r>
              <w:rPr>
                <w:rStyle w:val="VerbatimChar"/>
              </w:rPr>
              <w:t xml:space="preserve">0xEbC6802e6a2054FbF2Cb450aEc5E2916965b1718</w:t>
            </w:r>
          </w:p>
        </w:tc>
      </w:tr>
      <w:tr>
        <w:tc>
          <w:tcPr/>
          <w:p>
            <w:pPr>
              <w:pStyle w:val="Compact"/>
              <w:jc w:val="left"/>
            </w:pPr>
            <w:r>
              <w:rPr>
                <w:bCs/>
                <w:b/>
              </w:rPr>
              <w:t xml:space="preserve">LPStakingV4</w:t>
            </w:r>
          </w:p>
        </w:tc>
        <w:tc>
          <w:tcPr/>
          <w:p>
            <w:pPr>
              <w:pStyle w:val="Compact"/>
              <w:jc w:val="left"/>
            </w:pPr>
            <w:r>
              <w:rPr>
                <w:rStyle w:val="VerbatimChar"/>
              </w:rPr>
              <w:t xml:space="preserve">0x22f0DE89Ef26AE5c03CB43543dF5Bbd8cb8d0231</w:t>
            </w:r>
          </w:p>
        </w:tc>
      </w:tr>
      <w:tr>
        <w:tc>
          <w:tcPr/>
          <w:p>
            <w:pPr>
              <w:pStyle w:val="Compact"/>
              <w:jc w:val="left"/>
            </w:pPr>
            <w:r>
              <w:t xml:space="preserve">DTGC Token</w:t>
            </w:r>
          </w:p>
        </w:tc>
        <w:tc>
          <w:tcPr/>
          <w:p>
            <w:pPr>
              <w:pStyle w:val="Compact"/>
              <w:jc w:val="left"/>
            </w:pPr>
            <w:r>
              <w:rPr>
                <w:rStyle w:val="VerbatimChar"/>
              </w:rPr>
              <w:t xml:space="preserve">0xD0676B28a457371D58d47E5247b439114e40Eb0F</w:t>
            </w:r>
          </w:p>
        </w:tc>
      </w:tr>
      <w:tr>
        <w:tc>
          <w:tcPr/>
          <w:p>
            <w:pPr>
              <w:pStyle w:val="Compact"/>
              <w:jc w:val="left"/>
            </w:pPr>
            <w:r>
              <w:t xml:space="preserve">DAO Voting</w:t>
            </w:r>
          </w:p>
        </w:tc>
        <w:tc>
          <w:tcPr/>
          <w:p>
            <w:pPr>
              <w:pStyle w:val="Compact"/>
              <w:jc w:val="left"/>
            </w:pPr>
            <w:r>
              <w:rPr>
                <w:rStyle w:val="VerbatimChar"/>
              </w:rPr>
              <w:t xml:space="preserve">0x4828A40bEd10c373718cA10B53A34208636CD8C4</w:t>
            </w:r>
          </w:p>
        </w:tc>
      </w:tr>
    </w:tbl>
    <w:p>
      <w:r>
        <w:pict>
          <v:rect style="width:0;height:1.5pt" o:hralign="center" o:hrstd="t" o:hr="t"/>
        </w:pict>
      </w:r>
    </w:p>
    <w:bookmarkEnd w:id="24"/>
    <w:bookmarkStart w:id="27" w:name="staking-tiers"/>
    <w:p>
      <w:pPr>
        <w:pStyle w:val="Heading2"/>
      </w:pPr>
      <w:r>
        <w:t xml:space="preserve">3. Staking Tiers</w:t>
      </w:r>
    </w:p>
    <w:p>
      <w:pPr>
        <w:pStyle w:val="FirstParagraph"/>
      </w:pPr>
      <w:r>
        <w:t xml:space="preserve">DTGC V4 offers multiple staking tiers, each designed to reward different commitment levels. With unlimited multi-stake, you can participate in ALL tiers simultaneously!</w:t>
      </w:r>
    </w:p>
    <w:bookmarkStart w:id="25" w:name="dtgc-token-staking"/>
    <w:p>
      <w:pPr>
        <w:pStyle w:val="Heading3"/>
      </w:pPr>
      <w:r>
        <w:t xml:space="preserve">DTGC Token Staking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Tier</w:t>
            </w:r>
          </w:p>
        </w:tc>
        <w:tc>
          <w:tcPr/>
          <w:p>
            <w:pPr>
              <w:pStyle w:val="Compact"/>
              <w:jc w:val="left"/>
            </w:pPr>
            <w:r>
              <w:t xml:space="preserve">Lock Period</w:t>
            </w:r>
          </w:p>
        </w:tc>
        <w:tc>
          <w:tcPr/>
          <w:p>
            <w:pPr>
              <w:pStyle w:val="Compact"/>
              <w:jc w:val="left"/>
            </w:pPr>
            <w:r>
              <w:t xml:space="preserve">APR</w:t>
            </w:r>
          </w:p>
        </w:tc>
        <w:tc>
          <w:tcPr/>
          <w:p>
            <w:pPr>
              <w:pStyle w:val="Compact"/>
              <w:jc w:val="left"/>
            </w:pPr>
            <w:r>
              <w:t xml:space="preserve">Minimum</w:t>
            </w:r>
          </w:p>
        </w:tc>
      </w:tr>
      <w:tr>
        <w:tc>
          <w:tcPr/>
          <w:p>
            <w:pPr>
              <w:pStyle w:val="Compact"/>
              <w:jc w:val="left"/>
            </w:pPr>
            <w:r>
              <w:t xml:space="preserve">🥈 Silver</w:t>
            </w:r>
          </w:p>
        </w:tc>
        <w:tc>
          <w:tcPr/>
          <w:p>
            <w:pPr>
              <w:pStyle w:val="Compact"/>
              <w:jc w:val="left"/>
            </w:pPr>
            <w:r>
              <w:t xml:space="preserve">60 Days</w:t>
            </w:r>
          </w:p>
        </w:tc>
        <w:tc>
          <w:tcPr/>
          <w:p>
            <w:pPr>
              <w:pStyle w:val="Compact"/>
              <w:jc w:val="left"/>
            </w:pPr>
            <w:r>
              <w:rPr>
                <w:bCs/>
                <w:b/>
              </w:rPr>
              <w:t xml:space="preserve">15.4%</w:t>
            </w:r>
          </w:p>
        </w:tc>
        <w:tc>
          <w:tcPr/>
          <w:p>
            <w:pPr>
              <w:pStyle w:val="Compact"/>
              <w:jc w:val="left"/>
            </w:pPr>
            <w:r>
              <w:t xml:space="preserve">1,000 DTGC</w:t>
            </w:r>
          </w:p>
        </w:tc>
      </w:tr>
      <w:tr>
        <w:tc>
          <w:tcPr/>
          <w:p>
            <w:pPr>
              <w:pStyle w:val="Compact"/>
              <w:jc w:val="left"/>
            </w:pPr>
            <w:r>
              <w:t xml:space="preserve">🥇 Gold</w:t>
            </w:r>
          </w:p>
        </w:tc>
        <w:tc>
          <w:tcPr/>
          <w:p>
            <w:pPr>
              <w:pStyle w:val="Compact"/>
              <w:jc w:val="left"/>
            </w:pPr>
            <w:r>
              <w:t xml:space="preserve">90 Days</w:t>
            </w:r>
          </w:p>
        </w:tc>
        <w:tc>
          <w:tcPr/>
          <w:p>
            <w:pPr>
              <w:pStyle w:val="Compact"/>
              <w:jc w:val="left"/>
            </w:pPr>
            <w:r>
              <w:rPr>
                <w:bCs/>
                <w:b/>
              </w:rPr>
              <w:t xml:space="preserve">16.8%</w:t>
            </w:r>
          </w:p>
        </w:tc>
        <w:tc>
          <w:tcPr/>
          <w:p>
            <w:pPr>
              <w:pStyle w:val="Compact"/>
              <w:jc w:val="left"/>
            </w:pPr>
            <w:r>
              <w:t xml:space="preserve">10,000 DTGC</w:t>
            </w:r>
          </w:p>
        </w:tc>
      </w:tr>
      <w:tr>
        <w:tc>
          <w:tcPr/>
          <w:p>
            <w:pPr>
              <w:pStyle w:val="Compact"/>
              <w:jc w:val="left"/>
            </w:pPr>
            <w:r>
              <w:t xml:space="preserve">🐋 Whale</w:t>
            </w:r>
          </w:p>
        </w:tc>
        <w:tc>
          <w:tcPr/>
          <w:p>
            <w:pPr>
              <w:pStyle w:val="Compact"/>
              <w:jc w:val="left"/>
            </w:pPr>
            <w:r>
              <w:t xml:space="preserve">180 Days</w:t>
            </w:r>
          </w:p>
        </w:tc>
        <w:tc>
          <w:tcPr/>
          <w:p>
            <w:pPr>
              <w:pStyle w:val="Compact"/>
              <w:jc w:val="left"/>
            </w:pPr>
            <w:r>
              <w:rPr>
                <w:bCs/>
                <w:b/>
              </w:rPr>
              <w:t xml:space="preserve">18.2%</w:t>
            </w:r>
          </w:p>
        </w:tc>
        <w:tc>
          <w:tcPr/>
          <w:p>
            <w:pPr>
              <w:pStyle w:val="Compact"/>
              <w:jc w:val="left"/>
            </w:pPr>
            <w:r>
              <w:t xml:space="preserve">100,000 DTGC</w:t>
            </w:r>
          </w:p>
        </w:tc>
      </w:tr>
    </w:tbl>
    <w:bookmarkEnd w:id="25"/>
    <w:bookmarkStart w:id="26" w:name="lp-token-staking"/>
    <w:p>
      <w:pPr>
        <w:pStyle w:val="Heading3"/>
      </w:pPr>
      <w:r>
        <w:t xml:space="preserve">LP Token Staking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Lock Period</w:t>
            </w:r>
          </w:p>
        </w:tc>
        <w:tc>
          <w:tcPr/>
          <w:p>
            <w:pPr>
              <w:pStyle w:val="Compact"/>
              <w:jc w:val="left"/>
            </w:pPr>
            <w:r>
              <w:t xml:space="preserve">APR</w:t>
            </w:r>
          </w:p>
        </w:tc>
      </w:tr>
      <w:tr>
        <w:tc>
          <w:tcPr/>
          <w:p>
            <w:pPr>
              <w:pStyle w:val="Compact"/>
              <w:jc w:val="left"/>
            </w:pPr>
            <w:r>
              <w:t xml:space="preserve">💎 Diamond (DTGC/PLS)</w:t>
            </w:r>
          </w:p>
        </w:tc>
        <w:tc>
          <w:tcPr/>
          <w:p>
            <w:pPr>
              <w:pStyle w:val="Compact"/>
              <w:jc w:val="left"/>
            </w:pPr>
            <w:r>
              <w:t xml:space="preserve">90 Days</w:t>
            </w:r>
          </w:p>
        </w:tc>
        <w:tc>
          <w:tcPr/>
          <w:p>
            <w:pPr>
              <w:pStyle w:val="Compact"/>
              <w:jc w:val="left"/>
            </w:pPr>
            <w:r>
              <w:rPr>
                <w:bCs/>
                <w:b/>
              </w:rPr>
              <w:t xml:space="preserve">42%</w:t>
            </w:r>
            <w:r>
              <w:t xml:space="preserve"> </w:t>
            </w:r>
            <w:r>
              <w:t xml:space="preserve">(28% × 1.5x)</w:t>
            </w:r>
          </w:p>
        </w:tc>
      </w:tr>
      <w:tr>
        <w:tc>
          <w:tcPr/>
          <w:p>
            <w:pPr>
              <w:pStyle w:val="Compact"/>
              <w:jc w:val="left"/>
            </w:pPr>
            <w:r>
              <w:t xml:space="preserve">💎+ Diamond+ (DTGC/URMOM)</w:t>
            </w:r>
          </w:p>
        </w:tc>
        <w:tc>
          <w:tcPr/>
          <w:p>
            <w:pPr>
              <w:pStyle w:val="Compact"/>
              <w:jc w:val="left"/>
            </w:pPr>
            <w:r>
              <w:t xml:space="preserve">90 Days</w:t>
            </w:r>
          </w:p>
        </w:tc>
        <w:tc>
          <w:tcPr/>
          <w:p>
            <w:pPr>
              <w:pStyle w:val="Compact"/>
              <w:jc w:val="left"/>
            </w:pPr>
            <w:r>
              <w:rPr>
                <w:bCs/>
                <w:b/>
              </w:rPr>
              <w:t xml:space="preserve">70%</w:t>
            </w:r>
            <w:r>
              <w:t xml:space="preserve"> </w:t>
            </w:r>
            <w:r>
              <w:t xml:space="preserve">(35% × 2x)</w:t>
            </w:r>
          </w:p>
        </w:tc>
      </w:tr>
    </w:tbl>
    <w:p>
      <w:r>
        <w:pict>
          <v:rect style="width:0;height:1.5pt" o:hralign="center" o:hrstd="t" o:hr="t"/>
        </w:pict>
      </w:r>
    </w:p>
    <w:bookmarkEnd w:id="26"/>
    <w:bookmarkEnd w:id="27"/>
    <w:bookmarkStart w:id="29" w:name="tokenomics"/>
    <w:p>
      <w:pPr>
        <w:pStyle w:val="Heading2"/>
      </w:pPr>
      <w:r>
        <w:t xml:space="preserve">4. Tokenomics</w:t>
      </w:r>
    </w:p>
    <w:p>
      <w:pPr>
        <w:pStyle w:val="FirstParagraph"/>
      </w:pPr>
      <w:r>
        <w:rPr>
          <w:bCs/>
          <w:b/>
        </w:rPr>
        <w:t xml:space="preserve">Total Supply: 1,000,000,000 DTGC</w:t>
      </w:r>
    </w:p>
    <w:p>
      <w:pPr>
        <w:pStyle w:val="BodyText"/>
      </w:pPr>
      <w:r>
        <w:rPr>
          <w:bCs/>
          <w:b/>
        </w:rPr>
        <w:t xml:space="preserve">91% Protocol Controlled</w:t>
      </w:r>
      <w:r>
        <w:t xml:space="preserve"> </w:t>
      </w:r>
      <w:r>
        <w:t xml:space="preserve">— Only 9% circulating supply!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Allocation</w:t>
            </w:r>
          </w:p>
        </w:tc>
        <w:tc>
          <w:tcPr/>
          <w:p>
            <w:pPr>
              <w:pStyle w:val="Compact"/>
              <w:jc w:val="left"/>
            </w:pPr>
            <w:r>
              <w:t xml:space="preserve">Amount</w:t>
            </w:r>
          </w:p>
        </w:tc>
        <w:tc>
          <w:tcPr/>
          <w:p>
            <w:pPr>
              <w:pStyle w:val="Compact"/>
              <w:jc w:val="left"/>
            </w:pPr>
            <w:r>
              <w:t xml:space="preserve">Percentage</w:t>
            </w:r>
          </w:p>
        </w:tc>
      </w:tr>
      <w:tr>
        <w:tc>
          <w:tcPr/>
          <w:p>
            <w:pPr>
              <w:pStyle w:val="Compact"/>
              <w:jc w:val="left"/>
            </w:pPr>
            <w:r>
              <w:t xml:space="preserve">🏛️ DAO Rewards Pool</w:t>
            </w:r>
          </w:p>
        </w:tc>
        <w:tc>
          <w:tcPr/>
          <w:p>
            <w:pPr>
              <w:pStyle w:val="Compact"/>
              <w:jc w:val="left"/>
            </w:pPr>
            <w:r>
              <w:t xml:space="preserve">500,000,000</w:t>
            </w:r>
          </w:p>
        </w:tc>
        <w:tc>
          <w:tcPr/>
          <w:p>
            <w:pPr>
              <w:pStyle w:val="Compact"/>
              <w:jc w:val="left"/>
            </w:pPr>
            <w:r>
              <w:rPr>
                <w:bCs/>
                <w:b/>
              </w:rPr>
              <w:t xml:space="preserve">50%</w:t>
            </w:r>
          </w:p>
        </w:tc>
      </w:tr>
      <w:tr>
        <w:tc>
          <w:tcPr/>
          <w:p>
            <w:pPr>
              <w:pStyle w:val="Compact"/>
              <w:jc w:val="left"/>
            </w:pPr>
            <w:r>
              <w:t xml:space="preserve">👨‍💻 Dev Wallet</w:t>
            </w:r>
          </w:p>
        </w:tc>
        <w:tc>
          <w:tcPr/>
          <w:p>
            <w:pPr>
              <w:pStyle w:val="Compact"/>
              <w:jc w:val="left"/>
            </w:pPr>
            <w:r>
              <w:t xml:space="preserve">323,000,000</w:t>
            </w:r>
          </w:p>
        </w:tc>
        <w:tc>
          <w:tcPr/>
          <w:p>
            <w:pPr>
              <w:pStyle w:val="Compact"/>
              <w:jc w:val="left"/>
            </w:pPr>
            <w:r>
              <w:t xml:space="preserve">32.3%</w:t>
            </w:r>
          </w:p>
        </w:tc>
      </w:tr>
      <w:tr>
        <w:tc>
          <w:tcPr/>
          <w:p>
            <w:pPr>
              <w:pStyle w:val="Compact"/>
              <w:jc w:val="left"/>
            </w:pPr>
            <w:r>
              <w:t xml:space="preserve">💱 Circulating Supply</w:t>
            </w:r>
          </w:p>
        </w:tc>
        <w:tc>
          <w:tcPr/>
          <w:p>
            <w:pPr>
              <w:pStyle w:val="Compact"/>
              <w:jc w:val="left"/>
            </w:pPr>
            <w:r>
              <w:t xml:space="preserve">90,000,000</w:t>
            </w:r>
          </w:p>
        </w:tc>
        <w:tc>
          <w:tcPr/>
          <w:p>
            <w:pPr>
              <w:pStyle w:val="Compact"/>
              <w:jc w:val="left"/>
            </w:pPr>
            <w:r>
              <w:rPr>
                <w:bCs/>
                <w:b/>
              </w:rPr>
              <w:t xml:space="preserve">9%</w:t>
            </w:r>
          </w:p>
        </w:tc>
      </w:tr>
      <w:tr>
        <w:tc>
          <w:tcPr/>
          <w:p>
            <w:pPr>
              <w:pStyle w:val="Compact"/>
              <w:jc w:val="left"/>
            </w:pPr>
            <w:r>
              <w:t xml:space="preserve">🔒 LP Locked</w:t>
            </w:r>
          </w:p>
        </w:tc>
        <w:tc>
          <w:tcPr/>
          <w:p>
            <w:pPr>
              <w:pStyle w:val="Compact"/>
              <w:jc w:val="left"/>
            </w:pPr>
            <w:r>
              <w:t xml:space="preserve">87,000,000</w:t>
            </w:r>
          </w:p>
        </w:tc>
        <w:tc>
          <w:tcPr/>
          <w:p>
            <w:pPr>
              <w:pStyle w:val="Compact"/>
              <w:jc w:val="left"/>
            </w:pPr>
            <w:r>
              <w:t xml:space="preserve">8.7%</w:t>
            </w:r>
          </w:p>
        </w:tc>
      </w:tr>
    </w:tbl>
    <w:bookmarkStart w:id="28" w:name="tax-structure-7.5-total"/>
    <w:p>
      <w:pPr>
        <w:pStyle w:val="Heading3"/>
      </w:pPr>
      <w:r>
        <w:t xml:space="preserve">Tax Structure (7.5% Total)</w:t>
      </w:r>
    </w:p>
    <w:p>
      <w:pPr>
        <w:pStyle w:val="FirstParagraph"/>
      </w:pPr>
      <w:r>
        <w:t xml:space="preserve">Entry Tax: 3.75% • Exit Tax: 3.75%</w:t>
      </w:r>
    </w:p>
    <w:p>
      <w:pPr>
        <w:numPr>
          <w:ilvl w:val="0"/>
          <w:numId w:val="1002"/>
        </w:numPr>
        <w:pStyle w:val="Compact"/>
      </w:pPr>
      <w:r>
        <w:t xml:space="preserve">1.875% → DAO Treasury (Staking Rewards)</w:t>
      </w:r>
    </w:p>
    <w:p>
      <w:pPr>
        <w:numPr>
          <w:ilvl w:val="0"/>
          <w:numId w:val="1002"/>
        </w:numPr>
        <w:pStyle w:val="Compact"/>
      </w:pPr>
      <w:r>
        <w:t xml:space="preserve">0.625% → Development</w:t>
      </w:r>
    </w:p>
    <w:p>
      <w:pPr>
        <w:numPr>
          <w:ilvl w:val="0"/>
          <w:numId w:val="1002"/>
        </w:numPr>
        <w:pStyle w:val="Compact"/>
      </w:pPr>
      <w:r>
        <w:t xml:space="preserve">0.5% → Auto LP DTGC/URMOM</w:t>
      </w:r>
    </w:p>
    <w:p>
      <w:pPr>
        <w:numPr>
          <w:ilvl w:val="0"/>
          <w:numId w:val="1002"/>
        </w:numPr>
        <w:pStyle w:val="Compact"/>
      </w:pPr>
      <w:r>
        <w:t xml:space="preserve">0.5% → Auto LP DTGC/PLS</w:t>
      </w:r>
    </w:p>
    <w:p>
      <w:pPr>
        <w:numPr>
          <w:ilvl w:val="0"/>
          <w:numId w:val="1002"/>
        </w:numPr>
        <w:pStyle w:val="Compact"/>
      </w:pPr>
      <w:r>
        <w:t xml:space="preserve">0.25% → DTGC Burn (Deflationary)</w:t>
      </w:r>
    </w:p>
    <w:p>
      <w:r>
        <w:pict>
          <v:rect style="width:0;height:1.5pt" o:hralign="center" o:hrstd="t" o:hr="t"/>
        </w:pict>
      </w:r>
    </w:p>
    <w:bookmarkEnd w:id="28"/>
    <w:bookmarkEnd w:id="29"/>
    <w:bookmarkStart w:id="30" w:name="how-to-stake"/>
    <w:p>
      <w:pPr>
        <w:pStyle w:val="Heading2"/>
      </w:pPr>
      <w:r>
        <w:t xml:space="preserve">5. How to Stake</w:t>
      </w:r>
    </w:p>
    <w:p>
      <w:pPr>
        <w:numPr>
          <w:ilvl w:val="0"/>
          <w:numId w:val="1003"/>
        </w:numPr>
        <w:pStyle w:val="Compact"/>
      </w:pPr>
      <w:r>
        <w:t xml:space="preserve">Visit</w:t>
      </w:r>
      <w:r>
        <w:t xml:space="preserve"> </w:t>
      </w:r>
      <w:r>
        <w:rPr>
          <w:bCs/>
          <w:b/>
        </w:rPr>
        <w:t xml:space="preserve">dtgc.io</w:t>
      </w:r>
      <w:r>
        <w:t xml:space="preserve"> </w:t>
      </w:r>
      <w:r>
        <w:t xml:space="preserve">and connect your wallet (MetaMask, Internet Money, etc.)</w:t>
      </w:r>
    </w:p>
    <w:p>
      <w:pPr>
        <w:numPr>
          <w:ilvl w:val="0"/>
          <w:numId w:val="1003"/>
        </w:numPr>
        <w:pStyle w:val="Compact"/>
      </w:pPr>
      <w:r>
        <w:t xml:space="preserve">Ensure you’re on PulseChain network (Chain ID: 369)</w:t>
      </w:r>
    </w:p>
    <w:p>
      <w:pPr>
        <w:numPr>
          <w:ilvl w:val="0"/>
          <w:numId w:val="1003"/>
        </w:numPr>
        <w:pStyle w:val="Compact"/>
      </w:pPr>
      <w:r>
        <w:t xml:space="preserve">Acquire DTGC tokens via PulseX or supported DEX</w:t>
      </w:r>
    </w:p>
    <w:p>
      <w:pPr>
        <w:numPr>
          <w:ilvl w:val="0"/>
          <w:numId w:val="1003"/>
        </w:numPr>
        <w:pStyle w:val="Compact"/>
      </w:pPr>
      <w:r>
        <w:t xml:space="preserve">Select your staking tier (Silver, Gold, or Whale)</w:t>
      </w:r>
    </w:p>
    <w:p>
      <w:pPr>
        <w:numPr>
          <w:ilvl w:val="0"/>
          <w:numId w:val="1003"/>
        </w:numPr>
        <w:pStyle w:val="Compact"/>
      </w:pPr>
      <w:r>
        <w:t xml:space="preserve">Approve the token spend and confirm your stake</w:t>
      </w:r>
    </w:p>
    <w:p>
      <w:pPr>
        <w:numPr>
          <w:ilvl w:val="0"/>
          <w:numId w:val="1003"/>
        </w:numPr>
        <w:pStyle w:val="Compact"/>
      </w:pPr>
      <w:r>
        <w:t xml:space="preserve">Watch your rewards grow! Claim anytime without unstaking.</w:t>
      </w:r>
    </w:p>
    <w:p>
      <w:r>
        <w:pict>
          <v:rect style="width:0;height:1.5pt" o:hralign="center" o:hrstd="t" o:hr="t"/>
        </w:pict>
      </w:r>
    </w:p>
    <w:bookmarkEnd w:id="30"/>
    <w:bookmarkStart w:id="31" w:name="official-links"/>
    <w:p>
      <w:pPr>
        <w:pStyle w:val="Heading2"/>
      </w:pPr>
      <w:r>
        <w:t xml:space="preserve">6. Official Links</w:t>
      </w:r>
    </w:p>
    <w:p>
      <w:pPr>
        <w:numPr>
          <w:ilvl w:val="0"/>
          <w:numId w:val="1004"/>
        </w:numPr>
        <w:pStyle w:val="Compact"/>
      </w:pPr>
      <w:r>
        <w:rPr>
          <w:bCs/>
          <w:b/>
        </w:rPr>
        <w:t xml:space="preserve">Website:</w:t>
      </w:r>
      <w:r>
        <w:t xml:space="preserve"> </w:t>
      </w:r>
      <w:r>
        <w:t xml:space="preserve">https://dtgc.io</w:t>
      </w:r>
    </w:p>
    <w:p>
      <w:pPr>
        <w:numPr>
          <w:ilvl w:val="0"/>
          <w:numId w:val="1004"/>
        </w:numPr>
        <w:pStyle w:val="Compact"/>
      </w:pPr>
      <w:r>
        <w:rPr>
          <w:bCs/>
          <w:b/>
        </w:rPr>
        <w:t xml:space="preserve">Telegram:</w:t>
      </w:r>
      <w:r>
        <w:t xml:space="preserve"> </w:t>
      </w:r>
      <w:r>
        <w:t xml:space="preserve">https://t.me/DTGCPortal</w:t>
      </w:r>
    </w:p>
    <w:p>
      <w:pPr>
        <w:numPr>
          <w:ilvl w:val="0"/>
          <w:numId w:val="1004"/>
        </w:numPr>
        <w:pStyle w:val="Compact"/>
      </w:pPr>
      <w:r>
        <w:rPr>
          <w:bCs/>
          <w:b/>
        </w:rPr>
        <w:t xml:space="preserve">DexScreener:</w:t>
      </w:r>
      <w:r>
        <w:t xml:space="preserve"> </w:t>
      </w:r>
      <w:r>
        <w:t xml:space="preserve">https://dexscreener.com/pulsechain/dtgc</w:t>
      </w:r>
    </w:p>
    <w:p>
      <w:pPr>
        <w:numPr>
          <w:ilvl w:val="0"/>
          <w:numId w:val="1004"/>
        </w:numPr>
        <w:pStyle w:val="Compact"/>
      </w:pPr>
      <w:r>
        <w:rPr>
          <w:bCs/>
          <w:b/>
        </w:rPr>
        <w:t xml:space="preserve">PulseScan:</w:t>
      </w:r>
      <w:r>
        <w:t xml:space="preserve"> </w:t>
      </w:r>
      <w:r>
        <w:t xml:space="preserve">https://scan.pulsechain.com</w:t>
      </w:r>
    </w:p>
    <w:p>
      <w:r>
        <w:pict>
          <v:rect style="width:0;height:1.5pt" o:hralign="center" o:hrstd="t" o:hr="t"/>
        </w:pict>
      </w:r>
    </w:p>
    <w:bookmarkEnd w:id="31"/>
    <w:bookmarkStart w:id="32" w:name="disclaimer"/>
    <w:p>
      <w:pPr>
        <w:pStyle w:val="Heading2"/>
      </w:pPr>
      <w:r>
        <w:t xml:space="preserve">Disclaimer</w:t>
      </w:r>
    </w:p>
    <w:p>
      <w:pPr>
        <w:pStyle w:val="FirstParagraph"/>
      </w:pPr>
      <w:r>
        <w:rPr>
          <w:iCs/>
          <w:i/>
        </w:rPr>
        <w:t xml:space="preserve">This document is for informational purposes only. Cryptocurrency investments carry significant risks. Always do your own research (DYOR) before investing. Past performance does not guarantee future results. The DTGC team is not responsible for any financial losses incurred.</w:t>
      </w:r>
    </w:p>
    <w:p>
      <w:r>
        <w:pict>
          <v:rect style="width:0;height:1.5pt" o:hralign="center" o:hrstd="t" o:hr="t"/>
        </w:pict>
      </w:r>
    </w:p>
    <w:p>
      <w:pPr>
        <w:pStyle w:val="FirstParagraph"/>
      </w:pPr>
      <w:r>
        <w:rPr>
          <w:bCs/>
          <w:b/>
        </w:rPr>
        <w:t xml:space="preserve">DTGC V4 • Premium Staking on PulseChain</w:t>
      </w:r>
      <w:r>
        <w:br/>
      </w:r>
      <w:r>
        <w:t xml:space="preserve">dtgc.io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2026-01-05T15:00:13Z</dcterms:created>
  <dcterms:modified xsi:type="dcterms:W3CDTF">2026-01-05T15:00:13Z</dcterms:modified>
</cp:coreProperties>
</file>

<file path=docProps/custom.xml><?xml version="1.0" encoding="utf-8"?>
<Properties xmlns="http://schemas.openxmlformats.org/officeDocument/2006/custom-properties" xmlns:vt="http://schemas.openxmlformats.org/officeDocument/2006/docPropsVTypes"/>
</file>